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4D0" w:rsidRPr="003D14D0" w:rsidRDefault="003D14D0" w:rsidP="003D14D0">
      <w:pPr>
        <w:widowControl/>
        <w:spacing w:line="440" w:lineRule="exact"/>
        <w:outlineLvl w:val="1"/>
        <w:rPr>
          <w:rFonts w:ascii="標楷體" w:eastAsia="標楷體" w:hAnsi="標楷體" w:cs="新細明體"/>
          <w:b/>
          <w:bCs/>
          <w:color w:val="4A4A4A"/>
          <w:kern w:val="0"/>
          <w:sz w:val="32"/>
          <w:szCs w:val="32"/>
        </w:rPr>
      </w:pPr>
      <w:bookmarkStart w:id="0" w:name="_GoBack"/>
      <w:proofErr w:type="gramStart"/>
      <w:r w:rsidRPr="003D14D0">
        <w:rPr>
          <w:rFonts w:ascii="標楷體" w:eastAsia="標楷體" w:hAnsi="標楷體" w:cs="新細明體"/>
          <w:b/>
          <w:bCs/>
          <w:color w:val="4A4A4A"/>
          <w:kern w:val="0"/>
          <w:sz w:val="32"/>
          <w:szCs w:val="32"/>
        </w:rPr>
        <w:t>資安條款</w:t>
      </w:r>
      <w:proofErr w:type="gramEnd"/>
      <w:r w:rsidRPr="003D14D0">
        <w:rPr>
          <w:rFonts w:ascii="標楷體" w:eastAsia="標楷體" w:hAnsi="標楷體" w:cs="新細明體"/>
          <w:b/>
          <w:bCs/>
          <w:color w:val="4A4A4A"/>
          <w:kern w:val="0"/>
          <w:sz w:val="32"/>
          <w:szCs w:val="32"/>
        </w:rPr>
        <w:t>採購注意事項</w:t>
      </w:r>
    </w:p>
    <w:bookmarkEnd w:id="0"/>
    <w:p w:rsidR="003D14D0" w:rsidRPr="003D14D0" w:rsidRDefault="003D14D0" w:rsidP="003D14D0">
      <w:pPr>
        <w:widowControl/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一、為確保資訊安全，敬請各單位辦理「資通訊產品」採購案時，加上「禁止使用大陸廠牌條款」以及「委外資通訊系統或</w:t>
      </w:r>
      <w:proofErr w:type="gramStart"/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服務資安條款</w:t>
      </w:r>
      <w:proofErr w:type="gramEnd"/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」。</w:t>
      </w:r>
    </w:p>
    <w:p w:rsidR="003D14D0" w:rsidRPr="003D14D0" w:rsidRDefault="003D14D0" w:rsidP="003D14D0">
      <w:pPr>
        <w:widowControl/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二、適用範圍</w:t>
      </w:r>
    </w:p>
    <w:tbl>
      <w:tblPr>
        <w:tblW w:w="97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7"/>
        <w:gridCol w:w="2693"/>
        <w:gridCol w:w="2693"/>
      </w:tblGrid>
      <w:tr w:rsidR="003D14D0" w:rsidRPr="003D14D0" w:rsidTr="003D14D0">
        <w:trPr>
          <w:trHeight w:val="330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3D14D0" w:rsidRPr="003D14D0" w:rsidRDefault="003D14D0" w:rsidP="003D14D0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D14D0">
              <w:rPr>
                <w:rFonts w:ascii="標楷體" w:eastAsia="標楷體" w:hAnsi="標楷體" w:cs="Arial"/>
                <w:b/>
                <w:color w:val="000000"/>
                <w:kern w:val="0"/>
                <w:sz w:val="32"/>
                <w:szCs w:val="32"/>
              </w:rPr>
              <w:t> 產品類型</w:t>
            </w:r>
          </w:p>
        </w:tc>
        <w:tc>
          <w:tcPr>
            <w:tcW w:w="26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3D14D0" w:rsidRPr="003D14D0" w:rsidRDefault="003D14D0" w:rsidP="003D14D0">
            <w:pPr>
              <w:widowControl/>
              <w:spacing w:line="440" w:lineRule="exact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D14D0">
              <w:rPr>
                <w:rFonts w:ascii="標楷體" w:eastAsia="標楷體" w:hAnsi="標楷體" w:cs="Arial"/>
                <w:b/>
                <w:color w:val="000000"/>
                <w:kern w:val="0"/>
                <w:sz w:val="32"/>
                <w:szCs w:val="32"/>
              </w:rPr>
              <w:t> 禁止使用大陸廠牌條款 </w:t>
            </w:r>
          </w:p>
        </w:tc>
        <w:tc>
          <w:tcPr>
            <w:tcW w:w="26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3D14D0" w:rsidRPr="003D14D0" w:rsidRDefault="003D14D0" w:rsidP="003D14D0">
            <w:pPr>
              <w:widowControl/>
              <w:spacing w:line="440" w:lineRule="exact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D14D0">
              <w:rPr>
                <w:rFonts w:ascii="標楷體" w:eastAsia="標楷體" w:hAnsi="標楷體" w:cs="Arial"/>
                <w:b/>
                <w:color w:val="000000"/>
                <w:kern w:val="0"/>
                <w:sz w:val="32"/>
                <w:szCs w:val="32"/>
              </w:rPr>
              <w:t> 委外資通訊系統或</w:t>
            </w:r>
            <w:proofErr w:type="gramStart"/>
            <w:r w:rsidRPr="003D14D0">
              <w:rPr>
                <w:rFonts w:ascii="標楷體" w:eastAsia="標楷體" w:hAnsi="標楷體" w:cs="Arial"/>
                <w:b/>
                <w:color w:val="000000"/>
                <w:kern w:val="0"/>
                <w:sz w:val="32"/>
                <w:szCs w:val="32"/>
              </w:rPr>
              <w:t>服務資安條款</w:t>
            </w:r>
            <w:proofErr w:type="gramEnd"/>
            <w:r w:rsidRPr="003D14D0">
              <w:rPr>
                <w:rFonts w:ascii="標楷體" w:eastAsia="標楷體" w:hAnsi="標楷體" w:cs="Arial"/>
                <w:b/>
                <w:color w:val="000000"/>
                <w:kern w:val="0"/>
                <w:sz w:val="32"/>
                <w:szCs w:val="32"/>
              </w:rPr>
              <w:t> </w:t>
            </w:r>
          </w:p>
        </w:tc>
      </w:tr>
      <w:tr w:rsidR="003D14D0" w:rsidRPr="003D14D0" w:rsidTr="003D14D0">
        <w:trPr>
          <w:trHeight w:val="330"/>
        </w:trPr>
        <w:tc>
          <w:tcPr>
            <w:tcW w:w="43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3D14D0" w:rsidRPr="003D14D0" w:rsidRDefault="003D14D0" w:rsidP="003D14D0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D14D0">
              <w:rPr>
                <w:rFonts w:ascii="標楷體" w:eastAsia="標楷體" w:hAnsi="標楷體" w:cs="Arial"/>
                <w:b/>
                <w:color w:val="000000"/>
                <w:kern w:val="0"/>
                <w:sz w:val="32"/>
                <w:szCs w:val="32"/>
              </w:rPr>
              <w:t> 可連網之資通訊硬體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3D14D0" w:rsidRPr="003D14D0" w:rsidRDefault="003D14D0" w:rsidP="003D14D0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D14D0">
              <w:rPr>
                <w:rFonts w:ascii="標楷體" w:eastAsia="標楷體" w:hAnsi="標楷體" w:cs="Arial"/>
                <w:b/>
                <w:color w:val="000000"/>
                <w:kern w:val="0"/>
                <w:sz w:val="32"/>
                <w:szCs w:val="32"/>
              </w:rPr>
              <w:t>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3D14D0" w:rsidRPr="003D14D0" w:rsidRDefault="003D14D0" w:rsidP="003D14D0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D14D0">
              <w:rPr>
                <w:rFonts w:ascii="標楷體" w:eastAsia="標楷體" w:hAnsi="標楷體" w:cs="Arial"/>
                <w:b/>
                <w:color w:val="000000"/>
                <w:kern w:val="0"/>
                <w:sz w:val="32"/>
                <w:szCs w:val="32"/>
              </w:rPr>
              <w:t>-</w:t>
            </w:r>
          </w:p>
        </w:tc>
      </w:tr>
      <w:tr w:rsidR="003D14D0" w:rsidRPr="003D14D0" w:rsidTr="003D14D0">
        <w:trPr>
          <w:trHeight w:val="330"/>
        </w:trPr>
        <w:tc>
          <w:tcPr>
            <w:tcW w:w="43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3D14D0" w:rsidRPr="003D14D0" w:rsidRDefault="003D14D0" w:rsidP="003D14D0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D14D0">
              <w:rPr>
                <w:rFonts w:ascii="標楷體" w:eastAsia="標楷體" w:hAnsi="標楷體" w:cs="Arial"/>
                <w:b/>
                <w:color w:val="000000"/>
                <w:kern w:val="0"/>
                <w:sz w:val="32"/>
                <w:szCs w:val="32"/>
              </w:rPr>
              <w:t> 一般套裝軟體(例:SPSS)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3D14D0" w:rsidRPr="003D14D0" w:rsidRDefault="003D14D0" w:rsidP="003D14D0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D14D0">
              <w:rPr>
                <w:rFonts w:ascii="標楷體" w:eastAsia="標楷體" w:hAnsi="標楷體" w:cs="Arial"/>
                <w:b/>
                <w:color w:val="000000"/>
                <w:kern w:val="0"/>
                <w:sz w:val="32"/>
                <w:szCs w:val="32"/>
              </w:rPr>
              <w:t>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3D14D0" w:rsidRPr="003D14D0" w:rsidRDefault="003D14D0" w:rsidP="003D14D0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D14D0">
              <w:rPr>
                <w:rFonts w:ascii="標楷體" w:eastAsia="標楷體" w:hAnsi="標楷體" w:cs="Arial"/>
                <w:b/>
                <w:color w:val="000000"/>
                <w:kern w:val="0"/>
                <w:sz w:val="32"/>
                <w:szCs w:val="32"/>
              </w:rPr>
              <w:t xml:space="preserve">-　</w:t>
            </w:r>
          </w:p>
        </w:tc>
      </w:tr>
      <w:tr w:rsidR="003D14D0" w:rsidRPr="003D14D0" w:rsidTr="003D14D0">
        <w:trPr>
          <w:trHeight w:val="330"/>
        </w:trPr>
        <w:tc>
          <w:tcPr>
            <w:tcW w:w="43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3D14D0" w:rsidRPr="003D14D0" w:rsidRDefault="003D14D0" w:rsidP="003D14D0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D14D0">
              <w:rPr>
                <w:rFonts w:ascii="標楷體" w:eastAsia="標楷體" w:hAnsi="標楷體" w:cs="Arial"/>
                <w:b/>
                <w:color w:val="000000"/>
                <w:kern w:val="0"/>
                <w:sz w:val="32"/>
                <w:szCs w:val="32"/>
              </w:rPr>
              <w:t> 套裝或客製化系統平台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3D14D0" w:rsidRPr="003D14D0" w:rsidRDefault="003D14D0" w:rsidP="003D14D0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D14D0">
              <w:rPr>
                <w:rFonts w:ascii="標楷體" w:eastAsia="標楷體" w:hAnsi="標楷體" w:cs="Arial"/>
                <w:b/>
                <w:color w:val="000000"/>
                <w:kern w:val="0"/>
                <w:sz w:val="32"/>
                <w:szCs w:val="32"/>
              </w:rPr>
              <w:t>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3D14D0" w:rsidRPr="003D14D0" w:rsidRDefault="003D14D0" w:rsidP="003D14D0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D14D0">
              <w:rPr>
                <w:rFonts w:ascii="標楷體" w:eastAsia="標楷體" w:hAnsi="標楷體" w:cs="Arial"/>
                <w:b/>
                <w:color w:val="000000"/>
                <w:kern w:val="0"/>
                <w:sz w:val="32"/>
                <w:szCs w:val="32"/>
              </w:rPr>
              <w:t>V</w:t>
            </w:r>
          </w:p>
        </w:tc>
      </w:tr>
      <w:tr w:rsidR="003D14D0" w:rsidRPr="003D14D0" w:rsidTr="003D14D0">
        <w:trPr>
          <w:trHeight w:val="330"/>
        </w:trPr>
        <w:tc>
          <w:tcPr>
            <w:tcW w:w="43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3D14D0" w:rsidRPr="003D14D0" w:rsidRDefault="003D14D0" w:rsidP="003D14D0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D14D0">
              <w:rPr>
                <w:rFonts w:ascii="標楷體" w:eastAsia="標楷體" w:hAnsi="標楷體" w:cs="Arial"/>
                <w:b/>
                <w:color w:val="000000"/>
                <w:kern w:val="0"/>
                <w:sz w:val="32"/>
                <w:szCs w:val="32"/>
              </w:rPr>
              <w:t> 系統相關維護合約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3D14D0" w:rsidRPr="003D14D0" w:rsidRDefault="003D14D0" w:rsidP="003D14D0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D14D0">
              <w:rPr>
                <w:rFonts w:ascii="標楷體" w:eastAsia="標楷體" w:hAnsi="標楷體" w:cs="Arial"/>
                <w:b/>
                <w:color w:val="000000"/>
                <w:kern w:val="0"/>
                <w:sz w:val="32"/>
                <w:szCs w:val="32"/>
              </w:rPr>
              <w:t>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3D14D0" w:rsidRPr="003D14D0" w:rsidRDefault="003D14D0" w:rsidP="003D14D0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D14D0">
              <w:rPr>
                <w:rFonts w:ascii="標楷體" w:eastAsia="標楷體" w:hAnsi="標楷體" w:cs="Arial"/>
                <w:b/>
                <w:color w:val="000000"/>
                <w:kern w:val="0"/>
                <w:sz w:val="32"/>
                <w:szCs w:val="32"/>
              </w:rPr>
              <w:t>V</w:t>
            </w:r>
          </w:p>
        </w:tc>
      </w:tr>
    </w:tbl>
    <w:p w:rsidR="003D14D0" w:rsidRPr="003D14D0" w:rsidRDefault="003D14D0" w:rsidP="003D14D0">
      <w:pPr>
        <w:widowControl/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br/>
        <w:t>三、加</w:t>
      </w:r>
      <w:proofErr w:type="gramStart"/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註</w:t>
      </w:r>
      <w:proofErr w:type="gramEnd"/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條款(</w:t>
      </w:r>
      <w:r w:rsidRPr="003D14D0">
        <w:rPr>
          <w:rFonts w:ascii="標楷體" w:eastAsia="標楷體" w:hAnsi="標楷體" w:cs="新細明體"/>
          <w:b/>
          <w:bCs/>
          <w:color w:val="0000CC"/>
          <w:kern w:val="0"/>
          <w:sz w:val="32"/>
          <w:szCs w:val="32"/>
        </w:rPr>
        <w:t>藍字</w:t>
      </w:r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部分)</w:t>
      </w:r>
    </w:p>
    <w:p w:rsidR="003D14D0" w:rsidRPr="003D14D0" w:rsidRDefault="003D14D0" w:rsidP="003D14D0">
      <w:pPr>
        <w:widowControl/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kern w:val="0"/>
          <w:sz w:val="32"/>
          <w:szCs w:val="32"/>
          <w:shd w:val="clear" w:color="auto" w:fill="FFFF33"/>
        </w:rPr>
        <w:t>「禁止使用大陸廠牌條款」</w:t>
      </w:r>
    </w:p>
    <w:p w:rsidR="003D14D0" w:rsidRPr="003D14D0" w:rsidRDefault="003D14D0" w:rsidP="003D14D0">
      <w:pPr>
        <w:widowControl/>
        <w:numPr>
          <w:ilvl w:val="0"/>
          <w:numId w:val="1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「請購規格」加</w:t>
      </w:r>
      <w:proofErr w:type="gramStart"/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註</w:t>
      </w:r>
      <w:proofErr w:type="gramEnd"/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範例:</w:t>
      </w:r>
    </w:p>
    <w:p w:rsidR="003D14D0" w:rsidRPr="003D14D0" w:rsidRDefault="003D14D0" w:rsidP="003D14D0">
      <w:pPr>
        <w:widowControl/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本案涉及資通訊軟體、硬體或服務等相關事務不得提供及使用大陸廠牌資通訊產品</w:t>
      </w:r>
      <w:r w:rsidRPr="003D14D0">
        <w:rPr>
          <w:rFonts w:ascii="標楷體" w:eastAsia="標楷體" w:hAnsi="標楷體" w:cs="新細明體"/>
          <w:b/>
          <w:bCs/>
          <w:color w:val="0000CC"/>
          <w:kern w:val="0"/>
          <w:sz w:val="32"/>
          <w:szCs w:val="32"/>
        </w:rPr>
        <w:t>。</w:t>
      </w:r>
    </w:p>
    <w:p w:rsidR="003D14D0" w:rsidRPr="003D14D0" w:rsidRDefault="003D14D0" w:rsidP="003D14D0">
      <w:pPr>
        <w:widowControl/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 </w:t>
      </w:r>
    </w:p>
    <w:p w:rsidR="003D14D0" w:rsidRPr="003D14D0" w:rsidRDefault="003D14D0" w:rsidP="003D14D0">
      <w:pPr>
        <w:widowControl/>
        <w:numPr>
          <w:ilvl w:val="0"/>
          <w:numId w:val="2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「外包合約」加</w:t>
      </w:r>
      <w:proofErr w:type="gramStart"/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註</w:t>
      </w:r>
      <w:proofErr w:type="gramEnd"/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範例:</w:t>
      </w:r>
    </w:p>
    <w:p w:rsidR="003D14D0" w:rsidRPr="003D14D0" w:rsidRDefault="003D14D0" w:rsidP="003D14D0">
      <w:pPr>
        <w:widowControl/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1.為避免資訊外</w:t>
      </w: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洩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，造成甲方(本校)資通安全危害風險,乙方不得使用大陸廠牌之資通訊產品(包括但不限於軟體、硬體、服務或具連網能力、資料處理或控制功能之產品)連接或處理甲方設備及資料。</w:t>
      </w:r>
    </w:p>
    <w:p w:rsidR="003D14D0" w:rsidRPr="003D14D0" w:rsidRDefault="003D14D0" w:rsidP="003D14D0">
      <w:pPr>
        <w:widowControl/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2.乙方願意配合甲方不定期</w:t>
      </w: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辦理資安盤點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作業，並落實甲方使用資通訊產品相關(含軟體、硬體及服務)原則。</w:t>
      </w:r>
    </w:p>
    <w:p w:rsidR="003D14D0" w:rsidRPr="003D14D0" w:rsidRDefault="003D14D0" w:rsidP="003D14D0">
      <w:pPr>
        <w:widowControl/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3.乙方同意大陸廠牌認定方式，由甲方參考政府公告或建議從嚴認定之。</w:t>
      </w:r>
    </w:p>
    <w:p w:rsidR="003D14D0" w:rsidRPr="003D14D0" w:rsidRDefault="003D14D0" w:rsidP="003D14D0">
      <w:pPr>
        <w:widowControl/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4.</w:t>
      </w: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若乙方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違反上述約定，應給付甲方本案總價兩倍之懲罰性違約金，</w:t>
      </w: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如致甲方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校譽減損或受有其他損害，並</w:t>
      </w: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應另負損害賠償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責任</w:t>
      </w:r>
      <w:r w:rsidRPr="003D14D0">
        <w:rPr>
          <w:rFonts w:ascii="標楷體" w:eastAsia="標楷體" w:hAnsi="標楷體" w:cs="新細明體"/>
          <w:b/>
          <w:bCs/>
          <w:iCs/>
          <w:kern w:val="0"/>
          <w:sz w:val="32"/>
          <w:szCs w:val="32"/>
        </w:rPr>
        <w:t>。</w:t>
      </w:r>
    </w:p>
    <w:p w:rsidR="003D14D0" w:rsidRPr="003D14D0" w:rsidRDefault="003D14D0" w:rsidP="003D14D0">
      <w:pPr>
        <w:widowControl/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 </w:t>
      </w:r>
    </w:p>
    <w:p w:rsidR="003D14D0" w:rsidRPr="003D14D0" w:rsidRDefault="003D14D0" w:rsidP="003D14D0">
      <w:pPr>
        <w:widowControl/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kern w:val="0"/>
          <w:sz w:val="32"/>
          <w:szCs w:val="32"/>
          <w:shd w:val="clear" w:color="auto" w:fill="FFFF00"/>
        </w:rPr>
        <w:t>「委外資通訊系統或</w:t>
      </w:r>
      <w:proofErr w:type="gramStart"/>
      <w:r w:rsidRPr="003D14D0">
        <w:rPr>
          <w:rFonts w:ascii="標楷體" w:eastAsia="標楷體" w:hAnsi="標楷體" w:cs="新細明體"/>
          <w:b/>
          <w:kern w:val="0"/>
          <w:sz w:val="32"/>
          <w:szCs w:val="32"/>
          <w:shd w:val="clear" w:color="auto" w:fill="FFFF00"/>
        </w:rPr>
        <w:t>服務資安條款</w:t>
      </w:r>
      <w:proofErr w:type="gramEnd"/>
      <w:r w:rsidRPr="003D14D0">
        <w:rPr>
          <w:rFonts w:ascii="標楷體" w:eastAsia="標楷體" w:hAnsi="標楷體" w:cs="新細明體"/>
          <w:b/>
          <w:kern w:val="0"/>
          <w:sz w:val="32"/>
          <w:szCs w:val="32"/>
          <w:shd w:val="clear" w:color="auto" w:fill="FFFF33"/>
        </w:rPr>
        <w:t>」</w:t>
      </w:r>
    </w:p>
    <w:p w:rsidR="003D14D0" w:rsidRPr="003D14D0" w:rsidRDefault="003D14D0" w:rsidP="003D14D0">
      <w:pPr>
        <w:widowControl/>
        <w:numPr>
          <w:ilvl w:val="0"/>
          <w:numId w:val="3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「請購規格」加</w:t>
      </w:r>
      <w:proofErr w:type="gramStart"/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註</w:t>
      </w:r>
      <w:proofErr w:type="gramEnd"/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範例:</w:t>
      </w:r>
    </w:p>
    <w:p w:rsidR="003D14D0" w:rsidRPr="003D14D0" w:rsidRDefault="003D14D0" w:rsidP="003D14D0">
      <w:pPr>
        <w:widowControl/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本案涉及資通訊系統或服務等相關事</w:t>
      </w: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務需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配合本校外包系統條款注意事項(如下)</w:t>
      </w:r>
      <w:r w:rsidRPr="003D14D0">
        <w:rPr>
          <w:rFonts w:ascii="標楷體" w:eastAsia="標楷體" w:hAnsi="標楷體" w:cs="新細明體"/>
          <w:b/>
          <w:bCs/>
          <w:color w:val="0000CC"/>
          <w:kern w:val="0"/>
          <w:sz w:val="32"/>
          <w:szCs w:val="32"/>
        </w:rPr>
        <w:t>。</w:t>
      </w:r>
    </w:p>
    <w:p w:rsidR="003D14D0" w:rsidRPr="003D14D0" w:rsidRDefault="003D14D0" w:rsidP="003D14D0">
      <w:pPr>
        <w:widowControl/>
        <w:numPr>
          <w:ilvl w:val="0"/>
          <w:numId w:val="4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廠商或承攬者承攬本校工作若涉及資訊或個人資料業務時，應遵守本校所制訂之各項資通安全、個人資料管理及保密等相關規定，並簽訂</w:t>
      </w: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lastRenderedPageBreak/>
        <w:t>相關保密協定，</w:t>
      </w: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倘經發現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因可歸責於廠商或承攬者事由而洩密者，一切</w:t>
      </w: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損害均由廠商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或承攬者負責，並依法追究其各項法律責任。</w:t>
      </w:r>
    </w:p>
    <w:p w:rsidR="003D14D0" w:rsidRPr="003D14D0" w:rsidRDefault="003D14D0" w:rsidP="003D14D0">
      <w:pPr>
        <w:widowControl/>
        <w:numPr>
          <w:ilvl w:val="0"/>
          <w:numId w:val="4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廠商或承攬者因執行合約業務而違反個人資料保護法，致個人資料遭不法蒐集、處理、利用或其他侵害情事，廠商或承攬者應負損害賠償責任。</w:t>
      </w:r>
    </w:p>
    <w:p w:rsidR="003D14D0" w:rsidRPr="003D14D0" w:rsidRDefault="003D14D0" w:rsidP="003D14D0">
      <w:pPr>
        <w:widowControl/>
        <w:numPr>
          <w:ilvl w:val="0"/>
          <w:numId w:val="4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廠商或承攬者應配合</w:t>
      </w: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本校資安相關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措施，包括資訊安全演練、入侵偵測、弱點</w:t>
      </w: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掃瞄或其他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安全檢測方式，若發現需改善之系統漏洞，廠商或承攬者應依本校指示於時限內完成緊急應變處置，另廠商或承攬者應於事後提出書面改善計畫，並於雙方議定後進行修補改正。</w:t>
      </w:r>
    </w:p>
    <w:p w:rsidR="003D14D0" w:rsidRPr="003D14D0" w:rsidRDefault="003D14D0" w:rsidP="003D14D0">
      <w:pPr>
        <w:widowControl/>
        <w:numPr>
          <w:ilvl w:val="0"/>
          <w:numId w:val="4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當系統發生重大事故、中斷、錯誤無法運行，或系統無法復原之情境，廠商或承攬者應協助或支援備援資料還原或系統重新上線。</w:t>
      </w:r>
    </w:p>
    <w:p w:rsidR="003D14D0" w:rsidRPr="003D14D0" w:rsidRDefault="003D14D0" w:rsidP="003D14D0">
      <w:pPr>
        <w:widowControl/>
        <w:numPr>
          <w:ilvl w:val="0"/>
          <w:numId w:val="4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廠商或承攬者應配合本校定期業務持續運作演練，提供必要技術文件或支援，確保演練時系統中斷或災害發生時之應對處理。</w:t>
      </w:r>
    </w:p>
    <w:p w:rsidR="003D14D0" w:rsidRPr="003D14D0" w:rsidRDefault="003D14D0" w:rsidP="003D14D0">
      <w:pPr>
        <w:widowControl/>
        <w:numPr>
          <w:ilvl w:val="0"/>
          <w:numId w:val="4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廠商或承攬者所提供或使用之軟體、文件或圖片需合法並提供使用授權，如有違反智慧財產權者，廠商或承攬者應自行承擔所有法律責任，概與本校無涉。</w:t>
      </w:r>
    </w:p>
    <w:p w:rsidR="003D14D0" w:rsidRPr="003D14D0" w:rsidRDefault="003D14D0" w:rsidP="003D14D0">
      <w:pPr>
        <w:widowControl/>
        <w:numPr>
          <w:ilvl w:val="0"/>
          <w:numId w:val="4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廠商或承攬者履約結果涉及智慧財產權者，包括使用者登錄以及產出的資料或報表等，著作財產權歸本校所有，廠商或承攬者不得對本校行使著作人格權。</w:t>
      </w:r>
    </w:p>
    <w:p w:rsidR="003D14D0" w:rsidRPr="003D14D0" w:rsidRDefault="003D14D0" w:rsidP="003D14D0">
      <w:pPr>
        <w:widowControl/>
        <w:numPr>
          <w:ilvl w:val="0"/>
          <w:numId w:val="4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若廠商或承攬者有違反法律規定或前揭約定之情事發生，致他人權利或本校受有損害時，廠商或承攬者應負相關責任與協助後續處理。若本校因此遭第三人請求損害賠償時，應由廠商或承攬者負責處理並承擔一切最終法律責任。</w:t>
      </w:r>
    </w:p>
    <w:p w:rsidR="003D14D0" w:rsidRPr="003D14D0" w:rsidRDefault="003D14D0" w:rsidP="003D14D0">
      <w:pPr>
        <w:widowControl/>
        <w:numPr>
          <w:ilvl w:val="0"/>
          <w:numId w:val="4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廠商或承攬者應提供正式上線版程式原始碼，包含相關</w:t>
      </w: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函式庫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、相依套件、或足以重新建置運行之相關檔案。</w:t>
      </w:r>
    </w:p>
    <w:p w:rsidR="003D14D0" w:rsidRPr="003D14D0" w:rsidRDefault="003D14D0" w:rsidP="003D14D0">
      <w:pPr>
        <w:widowControl/>
        <w:numPr>
          <w:ilvl w:val="0"/>
          <w:numId w:val="4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廠商或承攬者應提供正式上線版資料庫結構，包含資料表名稱、欄位名稱、欄位描述、欄位類型、長度、</w:t>
      </w: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允許空值等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，以及提供本校資料庫資料檢視權限。</w:t>
      </w:r>
    </w:p>
    <w:p w:rsidR="003D14D0" w:rsidRPr="003D14D0" w:rsidRDefault="003D14D0" w:rsidP="003D14D0">
      <w:pPr>
        <w:widowControl/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 </w:t>
      </w:r>
    </w:p>
    <w:p w:rsidR="003D14D0" w:rsidRPr="003D14D0" w:rsidRDefault="003D14D0" w:rsidP="003D14D0">
      <w:pPr>
        <w:widowControl/>
        <w:numPr>
          <w:ilvl w:val="0"/>
          <w:numId w:val="5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「外包合約」加</w:t>
      </w:r>
      <w:proofErr w:type="gramStart"/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註</w:t>
      </w:r>
      <w:proofErr w:type="gramEnd"/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範例:</w:t>
      </w:r>
    </w:p>
    <w:p w:rsidR="003D14D0" w:rsidRPr="003D14D0" w:rsidRDefault="003D14D0" w:rsidP="003D14D0">
      <w:pPr>
        <w:widowControl/>
        <w:numPr>
          <w:ilvl w:val="0"/>
          <w:numId w:val="6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乙方(廠商或承攬者)承攬甲方(本校)工作若涉及資訊或個人資料業務時，應遵守甲方所制訂之各項資通安全、個人資料管理及保密等相關規定，並簽訂相關保密協定，</w:t>
      </w: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倘經發現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因可歸責於乙方事由而洩密者，一切</w:t>
      </w: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損害均由乙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方負責，並依法追究其各項法律責任。</w:t>
      </w:r>
    </w:p>
    <w:p w:rsidR="003D14D0" w:rsidRPr="003D14D0" w:rsidRDefault="003D14D0" w:rsidP="003D14D0">
      <w:pPr>
        <w:widowControl/>
        <w:numPr>
          <w:ilvl w:val="0"/>
          <w:numId w:val="6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lastRenderedPageBreak/>
        <w:t>乙方因執行合約業務而違反個人資料保護法，致個人資料遭不法蒐集、處理、利用或其他侵害情事，乙方應負損害賠償責任。</w:t>
      </w:r>
    </w:p>
    <w:p w:rsidR="003D14D0" w:rsidRPr="003D14D0" w:rsidRDefault="003D14D0" w:rsidP="003D14D0">
      <w:pPr>
        <w:widowControl/>
        <w:numPr>
          <w:ilvl w:val="0"/>
          <w:numId w:val="6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乙方應配合甲</w:t>
      </w: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方資安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相關措施，包括資訊安全演練、入侵偵測、弱點</w:t>
      </w: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掃瞄或其他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安全檢測方式，若發現需改善之系統漏洞，乙方應依甲方指示於時限內完成緊急應變處置，</w:t>
      </w: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另乙方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應於事後提出書面改善計畫，並於雙方議定後進行修補改正。</w:t>
      </w:r>
    </w:p>
    <w:p w:rsidR="003D14D0" w:rsidRPr="003D14D0" w:rsidRDefault="003D14D0" w:rsidP="003D14D0">
      <w:pPr>
        <w:widowControl/>
        <w:numPr>
          <w:ilvl w:val="0"/>
          <w:numId w:val="6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當系統發生重大事故、中斷、錯誤無法運行，或系統無法復原之情境，乙方應協助或支援備援資料還原或系統重新上線。</w:t>
      </w:r>
    </w:p>
    <w:p w:rsidR="003D14D0" w:rsidRPr="003D14D0" w:rsidRDefault="003D14D0" w:rsidP="003D14D0">
      <w:pPr>
        <w:widowControl/>
        <w:numPr>
          <w:ilvl w:val="0"/>
          <w:numId w:val="6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乙方應配合甲方定期業務持續運作演練，提供必要技術文件或支援，確保演練時系統中斷或災害發生時之應對處理。</w:t>
      </w:r>
    </w:p>
    <w:p w:rsidR="003D14D0" w:rsidRPr="003D14D0" w:rsidRDefault="003D14D0" w:rsidP="003D14D0">
      <w:pPr>
        <w:widowControl/>
        <w:numPr>
          <w:ilvl w:val="0"/>
          <w:numId w:val="6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乙方所提供或使用之軟體、文件或圖片需合法並提供使用授權，如有違反智慧財產權者，乙方應自行承擔所有法律責任，概與甲方無涉。</w:t>
      </w:r>
    </w:p>
    <w:p w:rsidR="003D14D0" w:rsidRPr="003D14D0" w:rsidRDefault="003D14D0" w:rsidP="003D14D0">
      <w:pPr>
        <w:widowControl/>
        <w:numPr>
          <w:ilvl w:val="0"/>
          <w:numId w:val="6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乙方履約結果涉及智慧財產權者，包括使用者登錄以及產出的資料或報表等，著作</w:t>
      </w: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財產權歸甲方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所有，乙方不得對甲方行使著作人格權。</w:t>
      </w:r>
    </w:p>
    <w:p w:rsidR="003D14D0" w:rsidRPr="003D14D0" w:rsidRDefault="003D14D0" w:rsidP="003D14D0">
      <w:pPr>
        <w:widowControl/>
        <w:numPr>
          <w:ilvl w:val="0"/>
          <w:numId w:val="6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若乙方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有違反法律規定或前揭約定之情事發生，致他人權利或甲方受有損害時，乙方應負相關責任與協助後續處理。</w:t>
      </w: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若甲方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因此遭第三人請求損害賠償時，應由乙方負責處理並承擔一切最終法律責任。</w:t>
      </w:r>
    </w:p>
    <w:p w:rsidR="003D14D0" w:rsidRPr="003D14D0" w:rsidRDefault="003D14D0" w:rsidP="003D14D0">
      <w:pPr>
        <w:widowControl/>
        <w:numPr>
          <w:ilvl w:val="0"/>
          <w:numId w:val="6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乙方應提供正式上線版程式原始碼，包含相關</w:t>
      </w: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函式庫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、相依套件、或足以重新建置運行之相關檔案。</w:t>
      </w:r>
    </w:p>
    <w:p w:rsidR="003D14D0" w:rsidRPr="003D14D0" w:rsidRDefault="003D14D0" w:rsidP="003D14D0">
      <w:pPr>
        <w:widowControl/>
        <w:numPr>
          <w:ilvl w:val="0"/>
          <w:numId w:val="6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乙方應提供正式上線版資料庫結構，包含資料表名稱、欄位名稱、欄位描述、欄位類型、長度、</w:t>
      </w:r>
      <w:proofErr w:type="gramStart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允許空值等</w:t>
      </w:r>
      <w:proofErr w:type="gramEnd"/>
      <w:r w:rsidRPr="003D14D0">
        <w:rPr>
          <w:rFonts w:ascii="標楷體" w:eastAsia="標楷體" w:hAnsi="標楷體" w:cs="新細明體"/>
          <w:b/>
          <w:bCs/>
          <w:iCs/>
          <w:color w:val="0000CC"/>
          <w:kern w:val="0"/>
          <w:sz w:val="32"/>
          <w:szCs w:val="32"/>
        </w:rPr>
        <w:t>，以及提供甲方資料庫資料檢視權限。</w:t>
      </w:r>
    </w:p>
    <w:p w:rsidR="003D14D0" w:rsidRPr="003D14D0" w:rsidRDefault="003D14D0" w:rsidP="003D14D0">
      <w:pPr>
        <w:widowControl/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 </w:t>
      </w:r>
    </w:p>
    <w:p w:rsidR="003D14D0" w:rsidRPr="003D14D0" w:rsidRDefault="003D14D0" w:rsidP="003D14D0">
      <w:pPr>
        <w:widowControl/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四、備註</w:t>
      </w:r>
    </w:p>
    <w:p w:rsidR="003D14D0" w:rsidRPr="003D14D0" w:rsidRDefault="003D14D0" w:rsidP="003D14D0">
      <w:pPr>
        <w:widowControl/>
        <w:numPr>
          <w:ilvl w:val="0"/>
          <w:numId w:val="7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 「大陸廠牌」與「資通訊產品」說明請見：</w:t>
      </w:r>
      <w:hyperlink r:id="rId5" w:tooltip="禁用大陸廠牌之資通訊產品" w:history="1">
        <w:r w:rsidRPr="003D14D0">
          <w:rPr>
            <w:rFonts w:ascii="標楷體" w:eastAsia="標楷體" w:hAnsi="標楷體" w:cs="新細明體"/>
            <w:b/>
            <w:color w:val="428BCA"/>
            <w:kern w:val="0"/>
            <w:sz w:val="32"/>
            <w:szCs w:val="32"/>
            <w:u w:val="single"/>
          </w:rPr>
          <w:t>禁用大陸廠牌之資通訊產品</w:t>
        </w:r>
      </w:hyperlink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。</w:t>
      </w:r>
    </w:p>
    <w:p w:rsidR="003D14D0" w:rsidRPr="003D14D0" w:rsidRDefault="003D14D0" w:rsidP="003D14D0">
      <w:pPr>
        <w:widowControl/>
        <w:numPr>
          <w:ilvl w:val="0"/>
          <w:numId w:val="7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「禁止使用大陸廠牌條款」依圖書資訊處2023年12月25日A12C18168號簽陳辦理。</w:t>
      </w:r>
    </w:p>
    <w:p w:rsidR="003D14D0" w:rsidRPr="003D14D0" w:rsidRDefault="003D14D0" w:rsidP="003D14D0">
      <w:pPr>
        <w:widowControl/>
        <w:numPr>
          <w:ilvl w:val="0"/>
          <w:numId w:val="7"/>
        </w:num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「委外資通訊系統或</w:t>
      </w:r>
      <w:proofErr w:type="gramStart"/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服務資安條款</w:t>
      </w:r>
      <w:proofErr w:type="gramEnd"/>
      <w:r w:rsidRPr="003D14D0">
        <w:rPr>
          <w:rFonts w:ascii="標楷體" w:eastAsia="標楷體" w:hAnsi="標楷體" w:cs="新細明體"/>
          <w:b/>
          <w:kern w:val="0"/>
          <w:sz w:val="32"/>
          <w:szCs w:val="32"/>
        </w:rPr>
        <w:t>」依圖書資訊處2024年5月27日A13520068號簽陳辦理。</w:t>
      </w:r>
    </w:p>
    <w:p w:rsidR="003D14D0" w:rsidRPr="003D14D0" w:rsidRDefault="003D14D0"/>
    <w:sectPr w:rsidR="003D14D0" w:rsidRPr="003D14D0" w:rsidSect="003D14D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F672A"/>
    <w:multiLevelType w:val="multilevel"/>
    <w:tmpl w:val="267E2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56499C"/>
    <w:multiLevelType w:val="multilevel"/>
    <w:tmpl w:val="6C10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B77D0D"/>
    <w:multiLevelType w:val="multilevel"/>
    <w:tmpl w:val="5498C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7915FB"/>
    <w:multiLevelType w:val="multilevel"/>
    <w:tmpl w:val="E0744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3D574E"/>
    <w:multiLevelType w:val="multilevel"/>
    <w:tmpl w:val="05DAE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1F37B0"/>
    <w:multiLevelType w:val="multilevel"/>
    <w:tmpl w:val="37D69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BA6DE3"/>
    <w:multiLevelType w:val="multilevel"/>
    <w:tmpl w:val="F728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4D0"/>
    <w:rsid w:val="003D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7B0CE7-0D9B-40D1-8BC2-1B5B8CDF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3D14D0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3D14D0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Web">
    <w:name w:val="Normal (Web)"/>
    <w:basedOn w:val="a"/>
    <w:uiPriority w:val="99"/>
    <w:semiHidden/>
    <w:unhideWhenUsed/>
    <w:rsid w:val="003D14D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Strong"/>
    <w:basedOn w:val="a0"/>
    <w:uiPriority w:val="22"/>
    <w:qFormat/>
    <w:rsid w:val="003D14D0"/>
    <w:rPr>
      <w:b/>
      <w:bCs/>
    </w:rPr>
  </w:style>
  <w:style w:type="character" w:styleId="a4">
    <w:name w:val="Emphasis"/>
    <w:basedOn w:val="a0"/>
    <w:uiPriority w:val="20"/>
    <w:qFormat/>
    <w:rsid w:val="003D14D0"/>
    <w:rPr>
      <w:i/>
      <w:iCs/>
    </w:rPr>
  </w:style>
  <w:style w:type="character" w:styleId="a5">
    <w:name w:val="Hyperlink"/>
    <w:basedOn w:val="a0"/>
    <w:uiPriority w:val="99"/>
    <w:semiHidden/>
    <w:unhideWhenUsed/>
    <w:rsid w:val="003D14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9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7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67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is.cgust.edu.tw/p/412-1019-3515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F000000180/周鴻奇</dc:creator>
  <cp:keywords/>
  <dc:description/>
  <cp:lastModifiedBy>F000000180/周鴻奇</cp:lastModifiedBy>
  <cp:revision>1</cp:revision>
  <dcterms:created xsi:type="dcterms:W3CDTF">2024-06-03T09:14:00Z</dcterms:created>
  <dcterms:modified xsi:type="dcterms:W3CDTF">2024-06-03T09:17:00Z</dcterms:modified>
</cp:coreProperties>
</file>